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4B" w:rsidRPr="00462C4B" w:rsidRDefault="00462C4B" w:rsidP="007D51AD">
      <w:pPr>
        <w:keepNext/>
        <w:keepLines/>
        <w:spacing w:after="0" w:line="250" w:lineRule="auto"/>
        <w:ind w:left="13" w:hanging="10"/>
        <w:outlineLvl w:val="0"/>
        <w:rPr>
          <w:rFonts w:ascii="Calibri" w:eastAsia="Calibri" w:hAnsi="Calibri" w:cs="Calibri"/>
          <w:b/>
          <w:color w:val="365F91"/>
          <w:sz w:val="28"/>
          <w:szCs w:val="24"/>
          <w:lang w:val="fr-CA" w:eastAsia="fr-CA"/>
        </w:rPr>
      </w:pPr>
      <w:bookmarkStart w:id="0" w:name="_Toc42612080"/>
      <w:bookmarkStart w:id="1" w:name="_Toc102641914"/>
      <w:r w:rsidRPr="00462C4B">
        <w:rPr>
          <w:rFonts w:ascii="Calibri" w:eastAsia="Calibri" w:hAnsi="Calibri" w:cs="Calibri"/>
          <w:b/>
          <w:color w:val="365F91"/>
          <w:sz w:val="28"/>
          <w:szCs w:val="24"/>
          <w:lang w:val="fr-CA" w:eastAsia="fr-CA"/>
        </w:rPr>
        <w:t>ÉCOLE NOMADE ET DIPLOMATION</w:t>
      </w:r>
      <w:bookmarkEnd w:id="0"/>
      <w:bookmarkEnd w:id="1"/>
      <w:r w:rsidRPr="00462C4B">
        <w:rPr>
          <w:rFonts w:ascii="Calibri" w:eastAsia="Calibri" w:hAnsi="Calibri" w:cs="Calibri"/>
          <w:b/>
          <w:color w:val="365F91"/>
          <w:sz w:val="28"/>
          <w:szCs w:val="24"/>
          <w:lang w:val="fr-CA" w:eastAsia="fr-CA"/>
        </w:rPr>
        <w:t xml:space="preserve"> </w:t>
      </w:r>
    </w:p>
    <w:p w:rsidR="00462C4B" w:rsidRPr="00462C4B" w:rsidRDefault="00462C4B" w:rsidP="00462C4B">
      <w:pPr>
        <w:spacing w:after="0"/>
        <w:ind w:left="3"/>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 </w:t>
      </w:r>
    </w:p>
    <w:p w:rsidR="00462C4B" w:rsidRPr="00462C4B" w:rsidRDefault="00462C4B" w:rsidP="007D51AD">
      <w:pPr>
        <w:spacing w:after="0" w:line="248" w:lineRule="auto"/>
        <w:ind w:left="-3" w:right="14"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Les parents qui instruisent leurs enfants de 10</w:t>
      </w:r>
      <w:r w:rsidRPr="00462C4B">
        <w:rPr>
          <w:rFonts w:ascii="Calibri" w:eastAsia="Calibri" w:hAnsi="Calibri" w:cs="Calibri"/>
          <w:color w:val="000000"/>
          <w:szCs w:val="24"/>
          <w:vertAlign w:val="superscript"/>
          <w:lang w:val="fr-CA" w:eastAsia="fr-CA" w:bidi="fr-CA"/>
        </w:rPr>
        <w:t>e</w:t>
      </w:r>
      <w:r w:rsidRPr="00462C4B">
        <w:rPr>
          <w:rFonts w:ascii="Calibri" w:eastAsia="Calibri" w:hAnsi="Calibri" w:cs="Calibri"/>
          <w:color w:val="000000"/>
          <w:szCs w:val="24"/>
          <w:lang w:val="fr-CA" w:eastAsia="fr-CA" w:bidi="fr-CA"/>
        </w:rPr>
        <w:t>, 11</w:t>
      </w:r>
      <w:r w:rsidRPr="00462C4B">
        <w:rPr>
          <w:rFonts w:ascii="Calibri" w:eastAsia="Calibri" w:hAnsi="Calibri" w:cs="Calibri"/>
          <w:color w:val="000000"/>
          <w:szCs w:val="24"/>
          <w:vertAlign w:val="superscript"/>
          <w:lang w:val="fr-CA" w:eastAsia="fr-CA" w:bidi="fr-CA"/>
        </w:rPr>
        <w:t xml:space="preserve">e </w:t>
      </w:r>
      <w:r w:rsidRPr="00462C4B">
        <w:rPr>
          <w:rFonts w:ascii="Calibri" w:eastAsia="Calibri" w:hAnsi="Calibri" w:cs="Calibri"/>
          <w:color w:val="000000"/>
          <w:szCs w:val="24"/>
          <w:lang w:val="fr-CA" w:eastAsia="fr-CA" w:bidi="fr-CA"/>
        </w:rPr>
        <w:t>ou 12</w:t>
      </w:r>
      <w:r w:rsidRPr="00462C4B">
        <w:rPr>
          <w:rFonts w:ascii="Calibri" w:eastAsia="Calibri" w:hAnsi="Calibri" w:cs="Calibri"/>
          <w:color w:val="000000"/>
          <w:szCs w:val="24"/>
          <w:vertAlign w:val="superscript"/>
          <w:lang w:val="fr-CA" w:eastAsia="fr-CA" w:bidi="fr-CA"/>
        </w:rPr>
        <w:t xml:space="preserve">e </w:t>
      </w:r>
      <w:r w:rsidRPr="00462C4B">
        <w:rPr>
          <w:rFonts w:ascii="Calibri" w:eastAsia="Calibri" w:hAnsi="Calibri" w:cs="Calibri"/>
          <w:color w:val="000000"/>
          <w:szCs w:val="24"/>
          <w:lang w:val="fr-CA" w:eastAsia="fr-CA" w:bidi="fr-CA"/>
        </w:rPr>
        <w:t xml:space="preserve">année à domicile ont la responsabilité supplémentaire de s’assurer que les conditions relatives à l’obtention du diplôme sont respectées afin que leurs enfants puissent obtenir un diplôme de fin d’études secondaires du Yukon. En outre, les parents et les élèves doivent connaitre les conditions préalables du programme d’études postsecondaires choisi, et veiller à ce que les enfants les satisfassent. Plus de détails sont disponibles sur le site du ministère de l’Éducation du Yukon </w:t>
      </w:r>
      <w:hyperlink r:id="rId4" w:history="1">
        <w:r w:rsidRPr="00462C4B">
          <w:rPr>
            <w:rFonts w:ascii="Calibri" w:eastAsia="Calibri" w:hAnsi="Calibri" w:cs="Calibri"/>
            <w:color w:val="0563C1"/>
            <w:szCs w:val="24"/>
            <w:u w:val="single"/>
            <w:lang w:val="fr-CA" w:eastAsia="fr-CA" w:bidi="fr-CA"/>
          </w:rPr>
          <w:t>https://yukon.ca/fr/diplome-etudes-secondaire</w:t>
        </w:r>
      </w:hyperlink>
      <w:hyperlink r:id="rId5">
        <w:r w:rsidRPr="00462C4B">
          <w:rPr>
            <w:rFonts w:ascii="Calibri" w:eastAsia="Calibri" w:hAnsi="Calibri" w:cs="Calibri"/>
            <w:color w:val="000000"/>
            <w:szCs w:val="24"/>
            <w:lang w:val="fr-CA" w:eastAsia="fr-CA" w:bidi="fr-CA"/>
          </w:rPr>
          <w:t>.</w:t>
        </w:r>
      </w:hyperlink>
      <w:r w:rsidRPr="00462C4B">
        <w:rPr>
          <w:rFonts w:ascii="Calibri" w:eastAsia="Calibri" w:hAnsi="Calibri" w:cs="Calibri"/>
          <w:color w:val="000000"/>
          <w:szCs w:val="24"/>
          <w:lang w:val="fr-CA" w:eastAsia="fr-CA" w:bidi="fr-CA"/>
        </w:rPr>
        <w:t xml:space="preserve"> L’obtention d’un diplôme d’études secondaires ne garantit pas à lui seul l’acceptation dans un établissement d’enseignement postsecondaire. </w:t>
      </w:r>
    </w:p>
    <w:p w:rsidR="00462C4B" w:rsidRPr="00462C4B" w:rsidRDefault="00462C4B" w:rsidP="007D51AD">
      <w:pPr>
        <w:spacing w:after="0"/>
        <w:ind w:left="3"/>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 </w:t>
      </w:r>
    </w:p>
    <w:p w:rsidR="00462C4B" w:rsidRPr="00462C4B" w:rsidRDefault="00462C4B" w:rsidP="00462C4B">
      <w:pPr>
        <w:spacing w:after="5" w:line="248" w:lineRule="auto"/>
        <w:ind w:left="-3" w:right="14"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Certains élèves peuvent choisir de se soustraire provisoirement à la vie scolaire afin de voyager ou de travailler avant de poursuivre une formation avancée dans les métiers, ou encore de fréquenter le collège ou l’université. Quel que soit le choix de l’élève, l’École Nomade peut apporter une aide à la planification, notamment pour l’établissement du cheminement postsecondaire et la recherche de soutien financier à la disposition de l’étudiant. Le parent est invité à prendre rendez-vous auprès du conseiller en orientation en communiquant avec les conseillers pédagogiques de la CSFY. </w:t>
      </w:r>
    </w:p>
    <w:p w:rsidR="00462C4B" w:rsidRPr="00462C4B" w:rsidRDefault="00462C4B" w:rsidP="00462C4B">
      <w:pPr>
        <w:spacing w:after="0"/>
        <w:ind w:left="3"/>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 </w:t>
      </w:r>
    </w:p>
    <w:p w:rsidR="00462C4B" w:rsidRPr="00462C4B" w:rsidRDefault="00462C4B" w:rsidP="00462C4B">
      <w:pPr>
        <w:keepNext/>
        <w:keepLines/>
        <w:spacing w:after="11" w:line="250" w:lineRule="auto"/>
        <w:ind w:left="13" w:hanging="10"/>
        <w:outlineLvl w:val="0"/>
        <w:rPr>
          <w:rFonts w:ascii="Calibri" w:eastAsia="Calibri" w:hAnsi="Calibri" w:cs="Calibri"/>
          <w:b/>
          <w:color w:val="365F91"/>
          <w:sz w:val="28"/>
          <w:szCs w:val="24"/>
          <w:lang w:val="fr-CA" w:eastAsia="fr-CA"/>
        </w:rPr>
      </w:pPr>
      <w:bookmarkStart w:id="2" w:name="_Toc42612084"/>
      <w:bookmarkStart w:id="3" w:name="_Toc102641918"/>
      <w:r w:rsidRPr="00462C4B">
        <w:rPr>
          <w:rFonts w:ascii="Calibri" w:eastAsia="Calibri" w:hAnsi="Calibri" w:cs="Calibri"/>
          <w:b/>
          <w:color w:val="365F91"/>
          <w:sz w:val="28"/>
          <w:szCs w:val="24"/>
          <w:lang w:val="fr-CA" w:eastAsia="fr-CA"/>
        </w:rPr>
        <w:t>Aperçu des exigences relatives à l’obtention du diplôme de fin d’études secondaires</w:t>
      </w:r>
      <w:bookmarkEnd w:id="2"/>
      <w:bookmarkEnd w:id="3"/>
      <w:r w:rsidRPr="00462C4B">
        <w:rPr>
          <w:rFonts w:ascii="Calibri" w:eastAsia="Calibri" w:hAnsi="Calibri" w:cs="Calibri"/>
          <w:b/>
          <w:color w:val="365F91"/>
          <w:sz w:val="28"/>
          <w:szCs w:val="24"/>
          <w:lang w:val="fr-CA" w:eastAsia="fr-CA"/>
        </w:rPr>
        <w:t xml:space="preserve"> </w:t>
      </w:r>
    </w:p>
    <w:p w:rsidR="00462C4B" w:rsidRPr="00462C4B" w:rsidRDefault="00462C4B" w:rsidP="00462C4B">
      <w:pPr>
        <w:spacing w:after="0" w:line="239" w:lineRule="auto"/>
        <w:ind w:left="-2" w:right="489" w:hanging="9"/>
        <w:jc w:val="both"/>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Pour obtenir un diplôme de fin d’études secondaires du Yukon, chaque élève inscrit à un programme menant au diplôme doit réussir certains cours de base, tels que les langues, les mathématiques et les sciences et réussir un examen de </w:t>
      </w:r>
      <w:proofErr w:type="spellStart"/>
      <w:r w:rsidRPr="00462C4B">
        <w:rPr>
          <w:rFonts w:ascii="Calibri" w:eastAsia="Calibri" w:hAnsi="Calibri" w:cs="Calibri"/>
          <w:color w:val="000000"/>
          <w:szCs w:val="24"/>
          <w:lang w:val="fr-CA" w:eastAsia="fr-CA" w:bidi="fr-CA"/>
        </w:rPr>
        <w:t>numératie</w:t>
      </w:r>
      <w:proofErr w:type="spellEnd"/>
      <w:r w:rsidRPr="00462C4B">
        <w:rPr>
          <w:rFonts w:ascii="Calibri" w:eastAsia="Calibri" w:hAnsi="Calibri" w:cs="Calibri"/>
          <w:color w:val="000000"/>
          <w:szCs w:val="24"/>
          <w:lang w:val="fr-CA" w:eastAsia="fr-CA" w:bidi="fr-CA"/>
        </w:rPr>
        <w:t xml:space="preserve"> et de </w:t>
      </w:r>
      <w:proofErr w:type="spellStart"/>
      <w:r w:rsidRPr="00462C4B">
        <w:rPr>
          <w:rFonts w:ascii="Calibri" w:eastAsia="Calibri" w:hAnsi="Calibri" w:cs="Calibri"/>
          <w:color w:val="000000"/>
          <w:szCs w:val="24"/>
          <w:lang w:val="fr-CA" w:eastAsia="fr-CA" w:bidi="fr-CA"/>
        </w:rPr>
        <w:t>littératie</w:t>
      </w:r>
      <w:proofErr w:type="spellEnd"/>
      <w:r w:rsidRPr="00462C4B">
        <w:rPr>
          <w:rFonts w:ascii="Calibri" w:eastAsia="Calibri" w:hAnsi="Calibri" w:cs="Calibri"/>
          <w:color w:val="000000"/>
          <w:szCs w:val="24"/>
          <w:lang w:val="fr-CA" w:eastAsia="fr-CA" w:bidi="fr-CA"/>
        </w:rPr>
        <w:t xml:space="preserve">. </w:t>
      </w:r>
    </w:p>
    <w:p w:rsidR="00462C4B" w:rsidRPr="00462C4B" w:rsidRDefault="00462C4B" w:rsidP="00462C4B">
      <w:pPr>
        <w:spacing w:after="0" w:line="239" w:lineRule="auto"/>
        <w:ind w:left="-2" w:right="489" w:hanging="9"/>
        <w:jc w:val="both"/>
        <w:rPr>
          <w:rFonts w:ascii="Calibri" w:eastAsia="Calibri" w:hAnsi="Calibri" w:cs="Calibri"/>
          <w:color w:val="000000"/>
          <w:szCs w:val="24"/>
          <w:lang w:val="fr-CA" w:eastAsia="fr-CA" w:bidi="fr-CA"/>
        </w:rPr>
      </w:pPr>
    </w:p>
    <w:p w:rsidR="00462C4B" w:rsidRPr="00462C4B" w:rsidRDefault="00462C4B" w:rsidP="00462C4B">
      <w:pPr>
        <w:spacing w:after="5" w:line="248" w:lineRule="auto"/>
        <w:ind w:left="-3" w:right="14" w:hanging="7"/>
        <w:rPr>
          <w:rFonts w:ascii="Calibri" w:eastAsia="Calibri" w:hAnsi="Calibri" w:cs="Calibri"/>
          <w:b/>
          <w:color w:val="365F91"/>
          <w:sz w:val="28"/>
          <w:szCs w:val="24"/>
          <w:lang w:val="fr-CA" w:eastAsia="fr-CA"/>
        </w:rPr>
      </w:pPr>
      <w:r w:rsidRPr="00462C4B">
        <w:rPr>
          <w:rFonts w:ascii="Calibri" w:eastAsia="Calibri" w:hAnsi="Calibri" w:cs="Calibri"/>
          <w:color w:val="000000"/>
          <w:szCs w:val="24"/>
          <w:lang w:val="fr-CA" w:eastAsia="fr-CA" w:bidi="fr-CA"/>
        </w:rPr>
        <w:t>Les conditions relatives à l’obtention du diplôme de fin d’études secondaires sont présentées dans le cadre du cours de planification de la 10</w:t>
      </w:r>
      <w:r w:rsidRPr="00462C4B">
        <w:rPr>
          <w:rFonts w:ascii="Calibri" w:eastAsia="Calibri" w:hAnsi="Calibri" w:cs="Calibri"/>
          <w:color w:val="000000"/>
          <w:szCs w:val="24"/>
          <w:vertAlign w:val="superscript"/>
          <w:lang w:val="fr-CA" w:eastAsia="fr-CA" w:bidi="fr-CA"/>
        </w:rPr>
        <w:t xml:space="preserve">e </w:t>
      </w:r>
      <w:r w:rsidRPr="00462C4B">
        <w:rPr>
          <w:rFonts w:ascii="Calibri" w:eastAsia="Calibri" w:hAnsi="Calibri" w:cs="Calibri"/>
          <w:color w:val="000000"/>
          <w:szCs w:val="24"/>
          <w:lang w:val="fr-CA" w:eastAsia="fr-CA" w:bidi="fr-CA"/>
        </w:rPr>
        <w:t>année. Les élèves de la 10</w:t>
      </w:r>
      <w:r w:rsidRPr="00462C4B">
        <w:rPr>
          <w:rFonts w:ascii="Calibri" w:eastAsia="Calibri" w:hAnsi="Calibri" w:cs="Calibri"/>
          <w:color w:val="000000"/>
          <w:szCs w:val="24"/>
          <w:vertAlign w:val="superscript"/>
          <w:lang w:val="fr-CA" w:eastAsia="fr-CA" w:bidi="fr-CA"/>
        </w:rPr>
        <w:t>e</w:t>
      </w:r>
      <w:r w:rsidRPr="00462C4B">
        <w:rPr>
          <w:rFonts w:ascii="Calibri" w:eastAsia="Calibri" w:hAnsi="Calibri" w:cs="Calibri"/>
          <w:color w:val="000000"/>
          <w:szCs w:val="24"/>
          <w:lang w:val="fr-CA" w:eastAsia="fr-CA" w:bidi="fr-CA"/>
        </w:rPr>
        <w:t xml:space="preserve"> à la 12</w:t>
      </w:r>
      <w:r w:rsidRPr="00462C4B">
        <w:rPr>
          <w:rFonts w:ascii="Calibri" w:eastAsia="Calibri" w:hAnsi="Calibri" w:cs="Calibri"/>
          <w:color w:val="000000"/>
          <w:szCs w:val="24"/>
          <w:vertAlign w:val="superscript"/>
          <w:lang w:val="fr-CA" w:eastAsia="fr-CA" w:bidi="fr-CA"/>
        </w:rPr>
        <w:t>e</w:t>
      </w:r>
      <w:r w:rsidRPr="00462C4B">
        <w:rPr>
          <w:rFonts w:ascii="Calibri" w:eastAsia="Calibri" w:hAnsi="Calibri" w:cs="Calibri"/>
          <w:color w:val="000000"/>
          <w:szCs w:val="24"/>
          <w:lang w:val="fr-CA" w:eastAsia="fr-CA" w:bidi="fr-CA"/>
        </w:rPr>
        <w:t xml:space="preserve"> année doivent prendre rendez-vous avec le conseiller pédagogique qui organisera une rencontre avec le conseiller en orientation. Pour plus de détails, vous pouvez consulter le Guide aux parents</w:t>
      </w:r>
      <w:r w:rsidRPr="00462C4B">
        <w:rPr>
          <w:rFonts w:ascii="Calibri" w:eastAsia="Calibri" w:hAnsi="Calibri" w:cs="Calibri"/>
          <w:i/>
          <w:color w:val="000000"/>
          <w:szCs w:val="24"/>
          <w:lang w:val="fr-CA" w:eastAsia="fr-CA" w:bidi="fr-CA"/>
        </w:rPr>
        <w:t xml:space="preserve"> </w:t>
      </w:r>
      <w:r w:rsidRPr="00462C4B">
        <w:rPr>
          <w:rFonts w:ascii="Calibri" w:eastAsia="Calibri" w:hAnsi="Calibri" w:cs="Calibri"/>
          <w:color w:val="000000"/>
          <w:szCs w:val="24"/>
          <w:lang w:val="fr-CA" w:eastAsia="fr-CA" w:bidi="fr-CA"/>
        </w:rPr>
        <w:t xml:space="preserve">du ministère de l’Éducation : </w:t>
      </w:r>
      <w:hyperlink r:id="rId6" w:history="1">
        <w:r w:rsidRPr="00462C4B">
          <w:rPr>
            <w:rFonts w:ascii="Calibri" w:eastAsia="Calibri" w:hAnsi="Calibri" w:cs="Calibri"/>
            <w:color w:val="0563C1"/>
            <w:szCs w:val="24"/>
            <w:u w:val="single"/>
            <w:lang w:val="fr-CA" w:eastAsia="fr-CA" w:bidi="fr-CA"/>
          </w:rPr>
          <w:t>http://www.education.gov.yk.ca/fr/grad-requirements.html</w:t>
        </w:r>
      </w:hyperlink>
      <w:hyperlink r:id="rId7">
        <w:r w:rsidRPr="00462C4B">
          <w:rPr>
            <w:rFonts w:ascii="Calibri" w:eastAsia="Calibri" w:hAnsi="Calibri" w:cs="Calibri"/>
            <w:color w:val="000000"/>
            <w:szCs w:val="24"/>
            <w:lang w:val="fr-CA" w:eastAsia="fr-CA" w:bidi="fr-CA"/>
          </w:rPr>
          <w:t xml:space="preserve"> </w:t>
        </w:r>
      </w:hyperlink>
      <w:r w:rsidRPr="00462C4B">
        <w:rPr>
          <w:rFonts w:ascii="Calibri" w:eastAsia="Calibri" w:hAnsi="Calibri" w:cs="Calibri"/>
          <w:color w:val="000000"/>
          <w:szCs w:val="24"/>
          <w:lang w:val="fr-CA" w:eastAsia="fr-CA" w:bidi="fr-CA"/>
        </w:rPr>
        <w:t xml:space="preserve">. </w:t>
      </w:r>
    </w:p>
    <w:p w:rsidR="00462C4B" w:rsidRPr="00462C4B" w:rsidRDefault="00462C4B" w:rsidP="007D51AD">
      <w:pPr>
        <w:spacing w:after="0"/>
        <w:rPr>
          <w:lang w:val="fr-CA"/>
        </w:rPr>
      </w:pPr>
      <w:bookmarkStart w:id="4" w:name="_GoBack"/>
      <w:bookmarkEnd w:id="4"/>
    </w:p>
    <w:p w:rsidR="00462C4B" w:rsidRPr="00462C4B" w:rsidRDefault="00462C4B" w:rsidP="00462C4B">
      <w:pPr>
        <w:spacing w:after="5" w:line="248" w:lineRule="auto"/>
        <w:ind w:left="-3" w:right="559" w:hanging="7"/>
        <w:rPr>
          <w:rFonts w:ascii="Calibri" w:eastAsia="Calibri" w:hAnsi="Calibri" w:cs="Calibri"/>
          <w:b/>
          <w:color w:val="2F5496" w:themeColor="accent5" w:themeShade="BF"/>
          <w:sz w:val="28"/>
          <w:szCs w:val="28"/>
          <w:lang w:val="fr-CA" w:eastAsia="fr-CA" w:bidi="fr-CA"/>
        </w:rPr>
      </w:pPr>
      <w:r w:rsidRPr="00462C4B">
        <w:rPr>
          <w:rFonts w:ascii="Calibri" w:eastAsia="Calibri" w:hAnsi="Calibri" w:cs="Calibri"/>
          <w:b/>
          <w:color w:val="2F5496" w:themeColor="accent5" w:themeShade="BF"/>
          <w:sz w:val="28"/>
          <w:szCs w:val="28"/>
          <w:lang w:val="fr-CA" w:eastAsia="fr-CA" w:bidi="fr-CA"/>
        </w:rPr>
        <w:t>Bourses et soutien financier</w:t>
      </w:r>
    </w:p>
    <w:p w:rsidR="00462C4B" w:rsidRPr="00462C4B" w:rsidRDefault="00462C4B" w:rsidP="00462C4B">
      <w:pPr>
        <w:spacing w:after="5" w:line="248" w:lineRule="auto"/>
        <w:ind w:left="-3" w:right="559"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Les élèves qui reçoivent un enseignement à domicile sont admissibles au programme de Prix d’excellence du Yukon et à la Bourse du Yukon. Toutes les options pour le soutien financier du gouvernement du Yukon sont disponibles à </w:t>
      </w:r>
      <w:hyperlink r:id="rId8" w:history="1">
        <w:r w:rsidRPr="00462C4B">
          <w:rPr>
            <w:rFonts w:ascii="Calibri" w:eastAsia="Calibri" w:hAnsi="Calibri" w:cs="Calibri"/>
            <w:color w:val="0563C1"/>
            <w:szCs w:val="24"/>
            <w:u w:val="single"/>
            <w:lang w:val="fr-CA" w:eastAsia="fr-CA" w:bidi="fr-CA"/>
          </w:rPr>
          <w:t>https://yukon.ca/fr/soutien-financier-etudiants</w:t>
        </w:r>
      </w:hyperlink>
      <w:r w:rsidRPr="00462C4B">
        <w:rPr>
          <w:rFonts w:ascii="Calibri" w:eastAsia="Calibri" w:hAnsi="Calibri" w:cs="Calibri"/>
          <w:color w:val="000000"/>
          <w:szCs w:val="24"/>
          <w:lang w:val="fr-CA" w:eastAsia="fr-CA" w:bidi="fr-CA"/>
        </w:rPr>
        <w:t xml:space="preserve">.  Veuillez communiquer avec les Programmes d’aide financière aux étudiants de la Direction de l’enseignement postsecondaire. </w:t>
      </w:r>
    </w:p>
    <w:p w:rsidR="00462C4B" w:rsidRPr="00462C4B" w:rsidRDefault="00462C4B" w:rsidP="00462C4B">
      <w:pPr>
        <w:spacing w:after="0"/>
        <w:ind w:left="3"/>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 </w:t>
      </w:r>
    </w:p>
    <w:p w:rsidR="00462C4B" w:rsidRPr="00462C4B" w:rsidRDefault="00462C4B" w:rsidP="00462C4B">
      <w:pPr>
        <w:spacing w:after="5" w:line="248" w:lineRule="auto"/>
        <w:ind w:left="-3" w:right="14" w:hanging="7"/>
        <w:rPr>
          <w:rFonts w:ascii="Calibri" w:eastAsia="Calibri" w:hAnsi="Calibri" w:cs="Calibri"/>
          <w:color w:val="000000"/>
          <w:szCs w:val="24"/>
          <w:lang w:val="en-US" w:eastAsia="fr-CA" w:bidi="fr-CA"/>
        </w:rPr>
      </w:pPr>
      <w:proofErr w:type="spellStart"/>
      <w:r w:rsidRPr="00462C4B">
        <w:rPr>
          <w:rFonts w:ascii="Calibri" w:eastAsia="Calibri" w:hAnsi="Calibri" w:cs="Calibri"/>
          <w:color w:val="000000"/>
          <w:szCs w:val="24"/>
          <w:lang w:val="en-US" w:eastAsia="fr-CA" w:bidi="fr-CA"/>
        </w:rPr>
        <w:t>Éducation</w:t>
      </w:r>
      <w:proofErr w:type="spellEnd"/>
      <w:r w:rsidRPr="00462C4B">
        <w:rPr>
          <w:rFonts w:ascii="Calibri" w:eastAsia="Calibri" w:hAnsi="Calibri" w:cs="Calibri"/>
          <w:color w:val="000000"/>
          <w:szCs w:val="24"/>
          <w:lang w:val="en-US" w:eastAsia="fr-CA" w:bidi="fr-CA"/>
        </w:rPr>
        <w:t xml:space="preserve"> Yukon </w:t>
      </w:r>
    </w:p>
    <w:p w:rsidR="00462C4B" w:rsidRPr="00462C4B" w:rsidRDefault="00462C4B" w:rsidP="00462C4B">
      <w:pPr>
        <w:spacing w:after="5" w:line="248" w:lineRule="auto"/>
        <w:ind w:left="-3" w:right="14" w:hanging="7"/>
        <w:rPr>
          <w:rFonts w:ascii="Calibri" w:eastAsia="Calibri" w:hAnsi="Calibri" w:cs="Calibri"/>
          <w:color w:val="000000"/>
          <w:szCs w:val="24"/>
          <w:lang w:val="en-US" w:eastAsia="fr-CA" w:bidi="fr-CA"/>
        </w:rPr>
      </w:pPr>
      <w:r w:rsidRPr="00462C4B">
        <w:rPr>
          <w:rFonts w:ascii="Calibri" w:eastAsia="Calibri" w:hAnsi="Calibri" w:cs="Calibri"/>
          <w:color w:val="000000"/>
          <w:szCs w:val="24"/>
          <w:lang w:val="en-US" w:eastAsia="fr-CA" w:bidi="fr-CA"/>
        </w:rPr>
        <w:t xml:space="preserve">C.P. 2703 </w:t>
      </w:r>
    </w:p>
    <w:p w:rsidR="00462C4B" w:rsidRPr="00462C4B" w:rsidRDefault="00462C4B" w:rsidP="00462C4B">
      <w:pPr>
        <w:spacing w:after="5" w:line="248" w:lineRule="auto"/>
        <w:ind w:left="-3" w:right="14" w:hanging="7"/>
        <w:rPr>
          <w:rFonts w:ascii="Calibri" w:eastAsia="Calibri" w:hAnsi="Calibri" w:cs="Calibri"/>
          <w:color w:val="000000"/>
          <w:szCs w:val="24"/>
          <w:lang w:val="en-US" w:eastAsia="fr-CA" w:bidi="fr-CA"/>
        </w:rPr>
      </w:pPr>
      <w:r w:rsidRPr="00462C4B">
        <w:rPr>
          <w:rFonts w:ascii="Calibri" w:eastAsia="Calibri" w:hAnsi="Calibri" w:cs="Calibri"/>
          <w:color w:val="000000"/>
          <w:szCs w:val="24"/>
          <w:lang w:val="en-US" w:eastAsia="fr-CA" w:bidi="fr-CA"/>
        </w:rPr>
        <w:t xml:space="preserve">Whitehorse (Yukon) </w:t>
      </w:r>
    </w:p>
    <w:p w:rsidR="00462C4B" w:rsidRPr="00462C4B" w:rsidRDefault="00462C4B" w:rsidP="00462C4B">
      <w:pPr>
        <w:spacing w:after="5" w:line="248" w:lineRule="auto"/>
        <w:ind w:left="-3" w:right="14"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Y1A 2C6 </w:t>
      </w:r>
    </w:p>
    <w:p w:rsidR="00462C4B" w:rsidRPr="00462C4B" w:rsidRDefault="00462C4B" w:rsidP="00462C4B">
      <w:pPr>
        <w:spacing w:after="0" w:line="248" w:lineRule="auto"/>
        <w:ind w:left="-3" w:right="14"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t xml:space="preserve">867 667-5929 </w:t>
      </w:r>
    </w:p>
    <w:p w:rsidR="00462C4B" w:rsidRPr="00462C4B" w:rsidRDefault="00462C4B" w:rsidP="00462C4B">
      <w:pPr>
        <w:spacing w:after="0" w:line="248" w:lineRule="auto"/>
        <w:ind w:left="-3" w:right="14" w:hanging="7"/>
        <w:rPr>
          <w:rFonts w:ascii="Calibri" w:eastAsia="Calibri" w:hAnsi="Calibri" w:cs="Calibri"/>
          <w:color w:val="000000"/>
          <w:szCs w:val="24"/>
          <w:lang w:val="fr-CA" w:eastAsia="fr-CA" w:bidi="fr-CA"/>
        </w:rPr>
      </w:pPr>
    </w:p>
    <w:p w:rsidR="00462C4B" w:rsidRPr="00462C4B" w:rsidRDefault="00462C4B" w:rsidP="00462C4B">
      <w:pPr>
        <w:spacing w:after="526" w:line="248" w:lineRule="auto"/>
        <w:ind w:left="-3" w:right="14" w:hanging="7"/>
        <w:rPr>
          <w:rFonts w:ascii="Calibri" w:eastAsia="Calibri" w:hAnsi="Calibri" w:cs="Calibri"/>
          <w:color w:val="000000"/>
          <w:szCs w:val="24"/>
          <w:lang w:val="fr-CA" w:eastAsia="fr-CA" w:bidi="fr-CA"/>
        </w:rPr>
      </w:pPr>
      <w:r w:rsidRPr="00462C4B">
        <w:rPr>
          <w:rFonts w:ascii="Calibri" w:eastAsia="Calibri" w:hAnsi="Calibri" w:cs="Calibri"/>
          <w:color w:val="000000"/>
          <w:szCs w:val="24"/>
          <w:lang w:val="fr-CA" w:eastAsia="fr-CA" w:bidi="fr-CA"/>
        </w:rPr>
        <w:lastRenderedPageBreak/>
        <w:t xml:space="preserve">De plus, la CSFY offre des bourses pour lesquelles les diplômés de l’École Nomade sont éligibles. Tous les détails dans la directive Prog-11 qui est dans la section Directives </w:t>
      </w:r>
      <w:hyperlink r:id="rId9" w:history="1">
        <w:r w:rsidRPr="00462C4B">
          <w:rPr>
            <w:rFonts w:ascii="Calibri" w:eastAsia="Calibri" w:hAnsi="Calibri" w:cs="Calibri"/>
            <w:color w:val="0563C1"/>
            <w:szCs w:val="24"/>
            <w:u w:val="single"/>
            <w:lang w:val="fr-CA" w:eastAsia="fr-CA" w:bidi="fr-CA"/>
          </w:rPr>
          <w:t>https://commissionscolaire.csfy.ca/gouvernance/</w:t>
        </w:r>
      </w:hyperlink>
      <w:r w:rsidRPr="00462C4B">
        <w:rPr>
          <w:rFonts w:ascii="Calibri" w:eastAsia="Calibri" w:hAnsi="Calibri" w:cs="Calibri"/>
          <w:color w:val="000000"/>
          <w:szCs w:val="24"/>
          <w:lang w:val="fr-CA" w:eastAsia="fr-CA" w:bidi="fr-CA"/>
        </w:rPr>
        <w:t>.</w:t>
      </w:r>
    </w:p>
    <w:sectPr w:rsidR="00462C4B" w:rsidRPr="00462C4B" w:rsidSect="007D51AD">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4B"/>
    <w:rsid w:val="00462C4B"/>
    <w:rsid w:val="007D51AD"/>
    <w:rsid w:val="00E25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12502-2194-4C0E-A72E-BCBA6231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C4B"/>
    <w:pPr>
      <w:spacing w:after="5" w:line="240" w:lineRule="auto"/>
      <w:ind w:left="10" w:hanging="7"/>
    </w:pPr>
    <w:rPr>
      <w:rFonts w:ascii="Calibri" w:eastAsia="Calibri" w:hAnsi="Calibri" w:cs="Calibri"/>
      <w:color w:val="000000"/>
      <w:sz w:val="20"/>
      <w:szCs w:val="20"/>
      <w:lang w:val="fr-CA" w:eastAsia="fr-CA" w:bidi="fr-CA"/>
    </w:rPr>
  </w:style>
  <w:style w:type="character" w:customStyle="1" w:styleId="CommentTextChar">
    <w:name w:val="Comment Text Char"/>
    <w:basedOn w:val="DefaultParagraphFont"/>
    <w:link w:val="CommentText"/>
    <w:uiPriority w:val="99"/>
    <w:semiHidden/>
    <w:rsid w:val="00462C4B"/>
    <w:rPr>
      <w:rFonts w:ascii="Calibri" w:eastAsia="Calibri" w:hAnsi="Calibri" w:cs="Calibri"/>
      <w:color w:val="000000"/>
      <w:sz w:val="20"/>
      <w:szCs w:val="20"/>
      <w:lang w:val="fr-CA" w:eastAsia="fr-CA" w:bidi="fr-CA"/>
    </w:rPr>
  </w:style>
  <w:style w:type="character" w:styleId="CommentReference">
    <w:name w:val="annotation reference"/>
    <w:basedOn w:val="DefaultParagraphFont"/>
    <w:uiPriority w:val="99"/>
    <w:semiHidden/>
    <w:unhideWhenUsed/>
    <w:rsid w:val="00462C4B"/>
    <w:rPr>
      <w:sz w:val="16"/>
      <w:szCs w:val="16"/>
    </w:rPr>
  </w:style>
  <w:style w:type="paragraph" w:styleId="BalloonText">
    <w:name w:val="Balloon Text"/>
    <w:basedOn w:val="Normal"/>
    <w:link w:val="BalloonTextChar"/>
    <w:uiPriority w:val="99"/>
    <w:semiHidden/>
    <w:unhideWhenUsed/>
    <w:rsid w:val="00462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kon.ca/fr/soutien-financier-etudiants" TargetMode="External"/><Relationship Id="rId3" Type="http://schemas.openxmlformats.org/officeDocument/2006/relationships/webSettings" Target="webSettings.xml"/><Relationship Id="rId7" Type="http://schemas.openxmlformats.org/officeDocument/2006/relationships/hyperlink" Target="http://www.education.gov.yk.ca/fr/grad-requiremen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v.yk.ca/fr/grad-requirements.html" TargetMode="External"/><Relationship Id="rId11" Type="http://schemas.openxmlformats.org/officeDocument/2006/relationships/theme" Target="theme/theme1.xml"/><Relationship Id="rId5" Type="http://schemas.openxmlformats.org/officeDocument/2006/relationships/hyperlink" Target="http://www.education.gov.yk.ca/fr/grad-requirements.html" TargetMode="External"/><Relationship Id="rId10" Type="http://schemas.openxmlformats.org/officeDocument/2006/relationships/fontTable" Target="fontTable.xml"/><Relationship Id="rId4" Type="http://schemas.openxmlformats.org/officeDocument/2006/relationships/hyperlink" Target="https://yukon.ca/fr/diplome-etudes-secondaire" TargetMode="External"/><Relationship Id="rId9" Type="http://schemas.openxmlformats.org/officeDocument/2006/relationships/hyperlink" Target="https://commissionscolaire.csfy.ca/gou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510</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Yukon Government</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Julie.Dessureault</dc:creator>
  <cp:keywords/>
  <dc:description/>
  <cp:lastModifiedBy>Maud.Caron</cp:lastModifiedBy>
  <cp:revision>2</cp:revision>
  <dcterms:created xsi:type="dcterms:W3CDTF">2023-05-16T17:13:00Z</dcterms:created>
  <dcterms:modified xsi:type="dcterms:W3CDTF">2023-06-06T22:29:00Z</dcterms:modified>
</cp:coreProperties>
</file>